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ISTANZA DI AMMISSIONE E PARTECIPAZIONE AL</w:t>
      </w:r>
    </w:p>
    <w:p>
      <w:pPr>
        <w:pStyle w:val="Normal"/>
        <w:jc w:val="center"/>
        <w:rPr>
          <w:b/>
        </w:rPr>
      </w:pPr>
      <w:r>
        <w:rPr>
          <w:b/>
        </w:rPr>
      </w:r>
    </w:p>
    <w:p>
      <w:pPr>
        <w:pStyle w:val="Normal"/>
        <w:jc w:val="center"/>
        <w:rPr>
          <w:b/>
        </w:rPr>
      </w:pPr>
      <w:r>
        <w:rPr>
          <w:b/>
        </w:rPr>
        <w:t>Bando di gara per la concessione degli agri marmiferi liberi distinti al catasto terreni del Comune di Carrara al foglio 35, mappali 193, 306, 307 e al foglio 36, mappali 62, 64, 550, per l’ampliamento di cave attive contigue o vicine</w:t>
      </w:r>
    </w:p>
    <w:p>
      <w:pPr>
        <w:pStyle w:val="Normal"/>
        <w:jc w:val="center"/>
        <w:rPr>
          <w:b/>
        </w:rPr>
      </w:pPr>
      <w:r>
        <w:rPr>
          <w:b/>
        </w:rPr>
      </w:r>
    </w:p>
    <w:p>
      <w:pPr>
        <w:pStyle w:val="Normal"/>
        <w:jc w:val="both"/>
        <w:rPr/>
      </w:pPr>
      <w:r>
        <w:rPr/>
        <w:t>Il sottoscritto, nato a………………… prov. (……..) e residente a ………….. prov (……..) in ………………………………………., Codice fiscale…………………, in qualità di legale rappresentante di …………………………………………, con sede in ………………………………………….., C.F. ……………………………., P. IVA …………………………………………, ovvero in qualità di soggetto munito di poteri di rappresentanza di …………………………………………….</w:t>
      </w:r>
    </w:p>
    <w:p>
      <w:pPr>
        <w:pStyle w:val="Normal"/>
        <w:jc w:val="center"/>
        <w:rPr/>
      </w:pPr>
      <w:r>
        <w:rPr/>
        <w:t>CHIEDE</w:t>
      </w:r>
    </w:p>
    <w:p>
      <w:pPr>
        <w:pStyle w:val="Normal"/>
        <w:jc w:val="both"/>
        <w:rPr/>
      </w:pPr>
      <w:r>
        <w:rPr/>
        <w:t xml:space="preserve">Di essere ammesso a partecipare al </w:t>
      </w:r>
      <w:r>
        <w:rPr>
          <w:b w:val="false"/>
          <w:bCs w:val="false"/>
        </w:rPr>
        <w:t>Bando di gara per la concessione degli agri marmiferi liberi distinti al catasto terreni del Comune di Carrara al foglio 35, mappali 193, 306, 307 e al foglio 36, mappali 62, 64, 550, per l’ampliamento di cave attive contigue o vicine</w:t>
      </w:r>
      <w:r>
        <w:rPr>
          <w:b w:val="false"/>
          <w:bCs w:val="false"/>
          <w:strike w:val="false"/>
          <w:dstrike w:val="false"/>
        </w:rPr>
        <w:t>;</w:t>
      </w:r>
    </w:p>
    <w:p>
      <w:pPr>
        <w:pStyle w:val="Normal"/>
        <w:jc w:val="center"/>
        <w:rPr/>
      </w:pPr>
      <w:r>
        <w:rPr/>
        <w:t>DICHIARA</w:t>
      </w:r>
    </w:p>
    <w:p>
      <w:pPr>
        <w:pStyle w:val="Normal"/>
        <w:jc w:val="both"/>
        <w:rPr/>
      </w:pPr>
      <w:r>
        <w:rPr/>
        <w:t>ai sensi degli articoli 46 e 47 del DPR 28 dicembre 2000 n.445, consapevole delle sanzioni penali previste dall'articolo 76 del medesimo DPR 445/2000, per le ipotesi di falsità in atti e dichiarazioni mendaci ivi indicate:</w:t>
      </w:r>
    </w:p>
    <w:p>
      <w:pPr>
        <w:pStyle w:val="Normal"/>
        <w:widowControl/>
        <w:bidi w:val="0"/>
        <w:spacing w:lineRule="auto" w:line="259" w:before="0" w:after="160"/>
        <w:ind w:hanging="0" w:left="567" w:right="0"/>
        <w:jc w:val="both"/>
        <w:rPr/>
      </w:pPr>
      <w:r>
        <w:rPr/>
        <w:t>a) di essere un soggetto in possesso dei requisiti di idoneità tecnica professionale delle imprese per l’esercizio dell’attività estrattiva, come previsto dall’art. 16, comma 3 della LR 35/15;</w:t>
      </w:r>
    </w:p>
    <w:p>
      <w:pPr>
        <w:pStyle w:val="Normal"/>
        <w:ind w:hanging="0" w:left="567" w:right="0"/>
        <w:jc w:val="both"/>
        <w:rPr/>
      </w:pPr>
      <w:r>
        <w:rPr/>
        <w:t>b) di essere un soggetto titolare di un’autorizzazione all’escavazione di una cava in corso di validità, che abbia necessità o opportunità di ampliamento della cava con terreni contigui o vicini, come stabilito dall’art. 22 comma 3 del “Regolamento per la Concessione” e dall’art. 11 della “Disciplina Gare”;</w:t>
      </w:r>
    </w:p>
    <w:p>
      <w:pPr>
        <w:pStyle w:val="Normal"/>
        <w:ind w:hanging="0" w:left="567" w:right="0"/>
        <w:jc w:val="both"/>
        <w:rPr/>
      </w:pPr>
      <w:r>
        <w:rPr/>
        <w:t>c) di essere un soggetto per il quale non sussistono cause di esclusione dalle procedure di gara di cui agli art. 94 e 95 del D. Lgs. n.36 del 31/03/2023 e s.m.i.;</w:t>
      </w:r>
    </w:p>
    <w:p>
      <w:pPr>
        <w:pStyle w:val="Normal"/>
        <w:widowControl/>
        <w:bidi w:val="0"/>
        <w:spacing w:lineRule="auto" w:line="259" w:before="0" w:after="160"/>
        <w:ind w:hanging="0" w:left="567" w:right="0"/>
        <w:jc w:val="both"/>
        <w:rPr/>
      </w:pPr>
      <w:r>
        <w:rPr/>
        <w:t>d) di essere un soggetto non incorso nella decadenza dalla concessione di una cava ai sensi all’art. 17 comma 2 lett. a), g) e h) e ai sensi dell'art.11 comma 1 lett. b) del “Regolamento per la Concessione” (art. 15 della “Disciplina Gare”); e di essere un soggetto per il quale al momento di presentazione della domanda non sussistono procedimenti in corso per i casi sopra indicati;</w:t>
      </w:r>
    </w:p>
    <w:p>
      <w:pPr>
        <w:pStyle w:val="Normal"/>
        <w:widowControl/>
        <w:bidi w:val="0"/>
        <w:spacing w:lineRule="auto" w:line="259" w:before="0" w:after="160"/>
        <w:ind w:hanging="0" w:left="567" w:right="0"/>
        <w:jc w:val="both"/>
        <w:rPr/>
      </w:pPr>
      <w:r>
        <w:rPr/>
        <w:t>e) di essere un soggetto per il quale al momento di presentazione della domanda non sussistono procedimenti di sospensione in corso per mancato pagamento del contributo di estrazione di cui all’art. 52 comma 3 della L.R.T. n. 35/15;</w:t>
      </w:r>
    </w:p>
    <w:p>
      <w:pPr>
        <w:pStyle w:val="Normal"/>
        <w:widowControl/>
        <w:bidi w:val="0"/>
        <w:spacing w:lineRule="auto" w:line="259" w:before="0" w:after="160"/>
        <w:ind w:hanging="0" w:left="567" w:right="0"/>
        <w:jc w:val="both"/>
        <w:rPr/>
      </w:pPr>
      <w:r>
        <w:rPr/>
        <w:t>f) di essere un soggetto in regola con eventuali piani di rateizzo dei pagamenti del canone di concessione e del contributo di estrazione;</w:t>
      </w:r>
    </w:p>
    <w:p>
      <w:pPr>
        <w:pStyle w:val="Normal"/>
        <w:widowControl/>
        <w:bidi w:val="0"/>
        <w:spacing w:lineRule="auto" w:line="259" w:before="0" w:after="160"/>
        <w:ind w:hanging="0" w:left="567" w:right="0"/>
        <w:jc w:val="both"/>
        <w:rPr/>
      </w:pPr>
      <w:r>
        <w:rPr/>
        <w:t>g) di avere il consenso a partecipare alla gara da parte di eventuali contitolari delle concessioni e/o dei soci della società intestataria della concessione della cava da ampliare (art. 22 del Regolamento per la Concessione);</w:t>
      </w:r>
    </w:p>
    <w:p>
      <w:pPr>
        <w:pStyle w:val="Normal"/>
        <w:widowControl/>
        <w:bidi w:val="0"/>
        <w:spacing w:lineRule="auto" w:line="259" w:before="0" w:after="160"/>
        <w:ind w:hanging="0" w:left="567" w:right="0"/>
        <w:jc w:val="both"/>
        <w:rPr/>
      </w:pPr>
      <w:r>
        <w:rPr/>
        <w:t>h) di aver svolto il sopralluogo nei mappali oggetto di gara, di aver valutato le tipologie merceologiche di marmo presenti e le potenzialità produttive e di accettare i terreni nello stato in cui si trovano senza nessuna riserva;</w:t>
      </w:r>
    </w:p>
    <w:p>
      <w:pPr>
        <w:pStyle w:val="Normal"/>
        <w:ind w:hanging="0" w:left="567" w:right="0"/>
        <w:jc w:val="both"/>
        <w:rPr/>
      </w:pPr>
      <w:r>
        <w:rPr/>
        <w:t>g) di avere preso visione del bando di gara e dei relativi allegati e di accettare, senza condizione e riserva alcuna, tutte le prescrizioni e disposizioni ivi contenute;</w:t>
      </w:r>
    </w:p>
    <w:p>
      <w:pPr>
        <w:pStyle w:val="Normal"/>
        <w:jc w:val="center"/>
        <w:rPr/>
      </w:pPr>
      <w:r>
        <w:rPr/>
        <w:t xml:space="preserve">SI IMPEGNA </w:t>
      </w:r>
    </w:p>
    <w:p>
      <w:pPr>
        <w:pStyle w:val="Normal"/>
        <w:jc w:val="both"/>
        <w:rPr/>
      </w:pPr>
      <w:r>
        <w:rPr/>
        <w:t>Ad osservare tutti gli obblighi e le prescrizioni dell’atto di convenzione;</w:t>
      </w:r>
    </w:p>
    <w:p>
      <w:pPr>
        <w:pStyle w:val="Normal"/>
        <w:jc w:val="center"/>
        <w:rPr/>
      </w:pPr>
      <w:r>
        <w:rPr/>
        <w:t>SI IMPEGNA INOLTRE</w:t>
      </w:r>
    </w:p>
    <w:p>
      <w:pPr>
        <w:pStyle w:val="Normal"/>
        <w:jc w:val="both"/>
        <w:rPr/>
      </w:pPr>
      <w:r>
        <w:rPr/>
        <w:t>A costituire e a mantenere per tutta la durata della concessione idonea garanzia finanziaria, prevista dall’art. 6, comma 2 lett. g) del regolamento per la Concessione, di comprovata solvibilità, per il rispetto degli obblighi scaturenti dalla concessione, per un importo pari all’ammontare di una annualità del canone di concessione, come risultante all’esito della procedura di gara (vedi par. 3.2 del presente bando);</w:t>
      </w:r>
    </w:p>
    <w:p>
      <w:pPr>
        <w:pStyle w:val="ListParagraph"/>
        <w:jc w:val="center"/>
        <w:rPr>
          <w:sz w:val="22"/>
          <w:szCs w:val="22"/>
        </w:rPr>
      </w:pPr>
      <w:r>
        <w:rPr>
          <w:bCs/>
          <w:sz w:val="22"/>
          <w:szCs w:val="22"/>
        </w:rPr>
        <w:t>AUTORIZZA</w:t>
      </w:r>
    </w:p>
    <w:p>
      <w:pPr>
        <w:pStyle w:val="Normal"/>
        <w:widowControl/>
        <w:overflowPunct w:val="true"/>
        <w:bidi w:val="0"/>
        <w:spacing w:lineRule="auto" w:line="240" w:before="0" w:after="0"/>
        <w:ind w:hanging="0" w:left="0" w:right="0"/>
        <w:jc w:val="both"/>
        <w:rPr>
          <w:sz w:val="22"/>
          <w:szCs w:val="22"/>
        </w:rPr>
      </w:pPr>
      <w:r>
        <w:rPr>
          <w:rFonts w:eastAsia="Times New Roman" w:cs="Calibri" w:cstheme="minorHAnsi"/>
          <w:spacing w:val="-2"/>
          <w:sz w:val="22"/>
          <w:szCs w:val="22"/>
          <w:lang w:eastAsia="it-IT"/>
        </w:rPr>
        <w:t xml:space="preserve">per tutte le comunicazioni inerenti la presente procedura di gara l’utilizzo dei seguenti dati: </w:t>
      </w:r>
    </w:p>
    <w:p>
      <w:pPr>
        <w:pStyle w:val="Normal"/>
        <w:widowControl/>
        <w:overflowPunct w:val="true"/>
        <w:bidi w:val="0"/>
        <w:spacing w:lineRule="auto" w:line="240" w:before="0" w:after="0"/>
        <w:ind w:hanging="0" w:left="0" w:right="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r>
    </w:p>
    <w:p>
      <w:pPr>
        <w:pStyle w:val="Normal"/>
        <w:widowControl/>
        <w:overflowPunct w:val="true"/>
        <w:bidi w:val="0"/>
        <w:spacing w:lineRule="auto" w:line="240" w:before="0" w:after="0"/>
        <w:ind w:hanging="0" w:left="0" w:right="0"/>
        <w:jc w:val="both"/>
        <w:rPr>
          <w:sz w:val="22"/>
          <w:szCs w:val="22"/>
        </w:rPr>
      </w:pPr>
      <w:r>
        <w:rPr>
          <w:rFonts w:eastAsia="Times New Roman" w:cs="Calibri" w:cstheme="minorHAnsi"/>
          <w:spacing w:val="-2"/>
          <w:sz w:val="22"/>
          <w:szCs w:val="22"/>
          <w:lang w:eastAsia="it-IT"/>
        </w:rPr>
        <w:t>domicilio fiscale ……………………………………………………………….</w:t>
      </w:r>
    </w:p>
    <w:p>
      <w:pPr>
        <w:pStyle w:val="Normal"/>
        <w:widowControl/>
        <w:overflowPunct w:val="true"/>
        <w:bidi w:val="0"/>
        <w:spacing w:lineRule="auto" w:line="240" w:before="0" w:after="0"/>
        <w:ind w:hanging="0" w:left="0" w:right="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r>
    </w:p>
    <w:p>
      <w:pPr>
        <w:pStyle w:val="Normal"/>
        <w:widowControl/>
        <w:overflowPunct w:val="true"/>
        <w:bidi w:val="0"/>
        <w:spacing w:lineRule="auto" w:line="240" w:before="0" w:after="0"/>
        <w:ind w:hanging="0" w:left="0" w:right="0"/>
        <w:jc w:val="both"/>
        <w:rPr>
          <w:sz w:val="22"/>
          <w:szCs w:val="22"/>
        </w:rPr>
      </w:pPr>
      <w:r>
        <w:rPr>
          <w:rFonts w:eastAsia="Times New Roman" w:cs="Calibri" w:cstheme="minorHAnsi"/>
          <w:spacing w:val="-2"/>
          <w:sz w:val="22"/>
          <w:szCs w:val="22"/>
          <w:lang w:eastAsia="it-IT"/>
        </w:rPr>
        <w:t>indirizzo di posta elettronica certificata …………………………………………………</w:t>
      </w:r>
    </w:p>
    <w:p>
      <w:pPr>
        <w:pStyle w:val="Normal"/>
        <w:widowControl/>
        <w:overflowPunct w:val="true"/>
        <w:bidi w:val="0"/>
        <w:spacing w:lineRule="auto" w:line="240" w:before="0" w:after="0"/>
        <w:ind w:hanging="0" w:left="0" w:right="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r>
    </w:p>
    <w:p>
      <w:pPr>
        <w:pStyle w:val="Normal"/>
        <w:widowControl/>
        <w:overflowPunct w:val="true"/>
        <w:bidi w:val="0"/>
        <w:spacing w:lineRule="auto" w:line="240" w:before="0" w:after="0"/>
        <w:ind w:hanging="0" w:left="0" w:right="0"/>
        <w:jc w:val="both"/>
        <w:rPr>
          <w:sz w:val="22"/>
          <w:szCs w:val="22"/>
        </w:rPr>
      </w:pPr>
      <w:r>
        <w:rPr>
          <w:rFonts w:eastAsia="Times New Roman"/>
          <w:spacing w:val="-2"/>
          <w:sz w:val="22"/>
          <w:szCs w:val="22"/>
          <w:lang w:eastAsia="it-IT"/>
        </w:rPr>
        <w:t>indirizzo di posta elettronica …………………………………………………</w:t>
      </w:r>
    </w:p>
    <w:p>
      <w:pPr>
        <w:pStyle w:val="ListParagraph"/>
        <w:jc w:val="center"/>
        <w:rPr>
          <w:rFonts w:cs="Calibri" w:cstheme="minorHAnsi"/>
          <w:bCs/>
        </w:rPr>
      </w:pPr>
      <w:r>
        <w:rPr>
          <w:rFonts w:cs="Calibri" w:cstheme="minorHAnsi"/>
          <w:bCs/>
        </w:rPr>
      </w:r>
    </w:p>
    <w:p>
      <w:pPr>
        <w:pStyle w:val="ListParagraph"/>
        <w:jc w:val="center"/>
        <w:rPr>
          <w:sz w:val="22"/>
          <w:szCs w:val="22"/>
        </w:rPr>
      </w:pPr>
      <w:r>
        <w:rPr>
          <w:rFonts w:cs="Calibri" w:cstheme="minorHAnsi"/>
          <w:bCs/>
          <w:sz w:val="22"/>
          <w:szCs w:val="22"/>
        </w:rPr>
        <w:t>ATTESTA</w:t>
      </w:r>
    </w:p>
    <w:p>
      <w:pPr>
        <w:pStyle w:val="Normal"/>
        <w:widowControl/>
        <w:overflowPunct w:val="true"/>
        <w:bidi w:val="0"/>
        <w:spacing w:lineRule="auto" w:line="240" w:before="0" w:after="0"/>
        <w:ind w:hanging="0" w:left="0" w:right="0"/>
        <w:jc w:val="both"/>
        <w:rPr>
          <w:sz w:val="22"/>
          <w:szCs w:val="22"/>
        </w:rPr>
      </w:pPr>
      <w:r>
        <w:rPr>
          <w:rFonts w:eastAsia="Times New Roman" w:cs="Calibri" w:cstheme="minorHAnsi"/>
          <w:spacing w:val="-2"/>
          <w:sz w:val="22"/>
          <w:szCs w:val="22"/>
          <w:lang w:eastAsia="it-IT"/>
        </w:rPr>
        <w:t>di essere informato, ai sensi e per gli effetti della normativa sulla privacy, che i dati personali raccolti saranno trattati, anche con strumenti informatici, esclusivamente nell’ambito del procedimento per il quale la dichiarazione viene resa;</w:t>
      </w:r>
    </w:p>
    <w:p>
      <w:pPr>
        <w:pStyle w:val="Normal"/>
        <w:widowControl/>
        <w:overflowPunct w:val="true"/>
        <w:bidi w:val="0"/>
        <w:spacing w:lineRule="auto" w:line="240" w:before="0" w:after="0"/>
        <w:ind w:hanging="0" w:left="0" w:right="0"/>
        <w:jc w:val="both"/>
        <w:rPr>
          <w:rFonts w:eastAsia="Times New Roman" w:cs="Calibri" w:cstheme="minorHAnsi"/>
          <w:spacing w:val="-2"/>
          <w:sz w:val="24"/>
          <w:szCs w:val="24"/>
          <w:lang w:eastAsia="it-IT"/>
        </w:rPr>
      </w:pPr>
      <w:r>
        <w:rPr>
          <w:rFonts w:eastAsia="Times New Roman" w:cs="Calibri" w:cstheme="minorHAnsi"/>
          <w:spacing w:val="-2"/>
          <w:sz w:val="24"/>
          <w:szCs w:val="24"/>
          <w:lang w:eastAsia="it-IT"/>
        </w:rPr>
      </w:r>
    </w:p>
    <w:p>
      <w:pPr>
        <w:pStyle w:val="Normal"/>
        <w:overflowPunct w:val="true"/>
        <w:spacing w:lineRule="auto" w:line="240" w:before="0" w:after="0"/>
        <w:ind w:left="425"/>
        <w:jc w:val="center"/>
        <w:rPr>
          <w:rFonts w:eastAsia="Times New Roman" w:cs="Calibri" w:cstheme="minorHAnsi"/>
          <w:spacing w:val="-2"/>
          <w:sz w:val="24"/>
          <w:szCs w:val="24"/>
          <w:lang w:eastAsia="it-IT"/>
        </w:rPr>
      </w:pPr>
      <w:r>
        <w:rPr>
          <w:rFonts w:eastAsia="Times New Roman" w:cs="Calibri" w:cstheme="minorHAnsi"/>
          <w:spacing w:val="-2"/>
          <w:sz w:val="24"/>
          <w:szCs w:val="24"/>
          <w:lang w:eastAsia="it-IT"/>
        </w:rPr>
        <w:t>ALLEGA</w:t>
      </w:r>
    </w:p>
    <w:p>
      <w:pPr>
        <w:pStyle w:val="Normal"/>
        <w:overflowPunct w:val="true"/>
        <w:spacing w:lineRule="auto" w:line="240" w:before="0" w:after="0"/>
        <w:ind w:hanging="0" w:left="0" w:right="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t xml:space="preserve">La seguente documentazione: </w:t>
      </w:r>
    </w:p>
    <w:p>
      <w:pPr>
        <w:pStyle w:val="Normal"/>
        <w:widowControl/>
        <w:numPr>
          <w:ilvl w:val="0"/>
          <w:numId w:val="1"/>
        </w:numPr>
        <w:overflowPunct w:val="true"/>
        <w:bidi w:val="0"/>
        <w:spacing w:lineRule="auto" w:line="240" w:before="0" w:after="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t>visura camerale del soggetto partecipante;</w:t>
      </w:r>
    </w:p>
    <w:p>
      <w:pPr>
        <w:pStyle w:val="Normal"/>
        <w:widowControl/>
        <w:numPr>
          <w:ilvl w:val="0"/>
          <w:numId w:val="1"/>
        </w:numPr>
        <w:overflowPunct w:val="true"/>
        <w:bidi w:val="0"/>
        <w:spacing w:lineRule="auto" w:line="240" w:before="0" w:after="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t>copia del documento di identità in corso di validità del legale rappresentante e/o del soggetto munito di rappresentanza (in tal caso deve essere allegato l’atto che formalizza la rappresentanza del soggetto partecipante) del soggetto partecipante;</w:t>
      </w:r>
    </w:p>
    <w:p>
      <w:pPr>
        <w:pStyle w:val="Normal"/>
        <w:widowControl/>
        <w:numPr>
          <w:ilvl w:val="0"/>
          <w:numId w:val="1"/>
        </w:numPr>
        <w:overflowPunct w:val="true"/>
        <w:bidi w:val="0"/>
        <w:spacing w:lineRule="auto" w:line="240" w:before="0" w:after="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t>documentazione comprovante la costituzione della cauzione provvisoria;</w:t>
      </w:r>
    </w:p>
    <w:p>
      <w:pPr>
        <w:pStyle w:val="Normal"/>
        <w:widowControl/>
        <w:numPr>
          <w:ilvl w:val="0"/>
          <w:numId w:val="1"/>
        </w:numPr>
        <w:overflowPunct w:val="true"/>
        <w:bidi w:val="0"/>
        <w:spacing w:lineRule="auto" w:line="240" w:before="0" w:after="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t>(eventuale) dichiarazione, ai sensi dell’art. 11 comma 5 della “Disciplina Gare”, di tutti gli intestatari di diritti della cava che gli agri messi a gara andranno ad ampliare, di richiesta di applicazione del principio di ripartizione dei diritti concessori, così come previsto dall’art. 22 comma 8 del “Regolamento per la Concessione”.</w:t>
      </w:r>
    </w:p>
    <w:p>
      <w:pPr>
        <w:pStyle w:val="Normal"/>
        <w:overflowPunct w:val="true"/>
        <w:spacing w:lineRule="auto" w:line="240" w:before="0" w:after="0"/>
        <w:ind w:hanging="0" w:left="0" w:right="0"/>
        <w:jc w:val="both"/>
        <w:rPr>
          <w:rFonts w:eastAsia="Times New Roman" w:cs="Calibri" w:cstheme="minorHAnsi"/>
          <w:spacing w:val="-2"/>
          <w:sz w:val="22"/>
          <w:szCs w:val="22"/>
          <w:lang w:eastAsia="it-IT"/>
        </w:rPr>
      </w:pPr>
      <w:r>
        <w:rPr>
          <w:rFonts w:eastAsia="Times New Roman" w:cs="Calibri" w:cstheme="minorHAnsi"/>
          <w:spacing w:val="-2"/>
          <w:sz w:val="22"/>
          <w:szCs w:val="22"/>
          <w:lang w:eastAsia="it-IT"/>
        </w:rPr>
      </w:r>
    </w:p>
    <w:p>
      <w:pPr>
        <w:pStyle w:val="Normal"/>
        <w:jc w:val="both"/>
        <w:rPr>
          <w:bCs/>
        </w:rPr>
      </w:pPr>
      <w:r>
        <w:rPr>
          <w:bCs/>
        </w:rPr>
        <w:t>Lì ……………………………..</w:t>
        <w:tab/>
        <w:tab/>
        <w:tab/>
        <w:tab/>
        <w:tab/>
        <w:tab/>
        <w:t>Firma</w:t>
      </w:r>
    </w:p>
    <w:p>
      <w:pPr>
        <w:pStyle w:val="Normal"/>
        <w:jc w:val="both"/>
        <w:rPr>
          <w:bCs/>
        </w:rPr>
      </w:pPr>
      <w:r>
        <w:rPr>
          <w:bCs/>
        </w:rPr>
        <w:tab/>
        <w:tab/>
        <w:tab/>
        <w:tab/>
        <w:tab/>
        <w:tab/>
        <w:tab/>
        <w:t>_________________________</w:t>
      </w:r>
    </w:p>
    <w:p>
      <w:pPr>
        <w:pStyle w:val="Normal"/>
        <w:jc w:val="both"/>
        <w:rPr>
          <w:bCs/>
        </w:rPr>
      </w:pPr>
      <w:r>
        <w:rPr>
          <w:bCs/>
        </w:rPr>
      </w:r>
    </w:p>
    <w:p>
      <w:pPr>
        <w:pStyle w:val="Normal"/>
        <w:spacing w:before="0" w:after="160"/>
        <w:jc w:val="both"/>
        <w:rPr>
          <w:bCs/>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344"/>
        </w:tabs>
        <w:ind w:left="1344" w:hanging="360"/>
      </w:pPr>
      <w:rPr/>
    </w:lvl>
    <w:lvl w:ilvl="1">
      <w:start w:val="1"/>
      <w:numFmt w:val="decimal"/>
      <w:lvlText w:val="%2."/>
      <w:lvlJc w:val="left"/>
      <w:pPr>
        <w:tabs>
          <w:tab w:val="num" w:pos="1704"/>
        </w:tabs>
        <w:ind w:left="1704" w:hanging="360"/>
      </w:pPr>
      <w:rPr/>
    </w:lvl>
    <w:lvl w:ilvl="2">
      <w:start w:val="1"/>
      <w:numFmt w:val="decimal"/>
      <w:lvlText w:val="%3."/>
      <w:lvlJc w:val="left"/>
      <w:pPr>
        <w:tabs>
          <w:tab w:val="num" w:pos="2064"/>
        </w:tabs>
        <w:ind w:left="2064" w:hanging="360"/>
      </w:pPr>
      <w:rPr/>
    </w:lvl>
    <w:lvl w:ilvl="3">
      <w:start w:val="1"/>
      <w:numFmt w:val="decimal"/>
      <w:lvlText w:val="%4."/>
      <w:lvlJc w:val="left"/>
      <w:pPr>
        <w:tabs>
          <w:tab w:val="num" w:pos="2424"/>
        </w:tabs>
        <w:ind w:left="2424" w:hanging="360"/>
      </w:pPr>
      <w:rPr/>
    </w:lvl>
    <w:lvl w:ilvl="4">
      <w:start w:val="1"/>
      <w:numFmt w:val="decimal"/>
      <w:lvlText w:val="%5."/>
      <w:lvlJc w:val="left"/>
      <w:pPr>
        <w:tabs>
          <w:tab w:val="num" w:pos="2784"/>
        </w:tabs>
        <w:ind w:left="2784" w:hanging="360"/>
      </w:pPr>
      <w:rPr/>
    </w:lvl>
    <w:lvl w:ilvl="5">
      <w:start w:val="1"/>
      <w:numFmt w:val="decimal"/>
      <w:lvlText w:val="%6."/>
      <w:lvlJc w:val="left"/>
      <w:pPr>
        <w:tabs>
          <w:tab w:val="num" w:pos="3144"/>
        </w:tabs>
        <w:ind w:left="3144" w:hanging="360"/>
      </w:pPr>
      <w:rPr/>
    </w:lvl>
    <w:lvl w:ilvl="6">
      <w:start w:val="1"/>
      <w:numFmt w:val="decimal"/>
      <w:lvlText w:val="%7."/>
      <w:lvlJc w:val="left"/>
      <w:pPr>
        <w:tabs>
          <w:tab w:val="num" w:pos="3504"/>
        </w:tabs>
        <w:ind w:left="3504" w:hanging="360"/>
      </w:pPr>
      <w:rPr/>
    </w:lvl>
    <w:lvl w:ilvl="7">
      <w:start w:val="1"/>
      <w:numFmt w:val="decimal"/>
      <w:lvlText w:val="%8."/>
      <w:lvlJc w:val="left"/>
      <w:pPr>
        <w:tabs>
          <w:tab w:val="num" w:pos="3864"/>
        </w:tabs>
        <w:ind w:left="3864" w:hanging="360"/>
      </w:pPr>
      <w:rPr/>
    </w:lvl>
    <w:lvl w:ilvl="8">
      <w:start w:val="1"/>
      <w:numFmt w:val="decimal"/>
      <w:lvlText w:val="%9."/>
      <w:lvlJc w:val="left"/>
      <w:pPr>
        <w:tabs>
          <w:tab w:val="num" w:pos="4224"/>
        </w:tabs>
        <w:ind w:left="4224"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TestofumettoCarattere" w:customStyle="1">
    <w:name w:val="Testo fumetto Carattere"/>
    <w:basedOn w:val="DefaultParagraphFont"/>
    <w:link w:val="BalloonText"/>
    <w:uiPriority w:val="99"/>
    <w:semiHidden/>
    <w:qFormat/>
    <w:rsid w:val="00387b1c"/>
    <w:rPr>
      <w:rFonts w:ascii="Segoe UI" w:hAnsi="Segoe UI" w:cs="Segoe UI"/>
      <w:sz w:val="18"/>
      <w:szCs w:val="18"/>
    </w:rPr>
  </w:style>
  <w:style w:type="character" w:styleId="Caratteridinumerazione">
    <w:name w:val="Caratteri di numerazione"/>
    <w:qFormat/>
    <w:rPr/>
  </w:style>
  <w:style w:type="paragraph" w:styleId="Titolo">
    <w:name w:val="Tito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user">
    <w:name w:val="Titolo (user)"/>
    <w:basedOn w:val="Normal"/>
    <w:next w:val="BodyText"/>
    <w:qFormat/>
    <w:pPr>
      <w:keepNext w:val="true"/>
      <w:spacing w:before="240" w:after="120"/>
    </w:pPr>
    <w:rPr>
      <w:rFonts w:ascii="Liberation Sans" w:hAnsi="Liberation Sans" w:eastAsia="Microsoft YaHei" w:cs="Arial Unicode MS"/>
      <w:sz w:val="28"/>
      <w:szCs w:val="28"/>
    </w:rPr>
  </w:style>
  <w:style w:type="paragraph" w:styleId="Indiceuser">
    <w:name w:val="Indice (user)"/>
    <w:basedOn w:val="Normal"/>
    <w:qFormat/>
    <w:pPr>
      <w:suppressLineNumbers/>
    </w:pPr>
    <w:rPr>
      <w:rFonts w:cs="Arial Unicode MS"/>
    </w:rPr>
  </w:style>
  <w:style w:type="paragraph" w:styleId="ListParagraph">
    <w:name w:val="List Paragraph"/>
    <w:basedOn w:val="Normal"/>
    <w:uiPriority w:val="34"/>
    <w:qFormat/>
    <w:rsid w:val="00b40060"/>
    <w:pPr>
      <w:spacing w:before="0" w:after="160"/>
      <w:ind w:left="720"/>
      <w:contextualSpacing/>
    </w:pPr>
    <w:rPr/>
  </w:style>
  <w:style w:type="paragraph" w:styleId="BalloonText">
    <w:name w:val="Balloon Text"/>
    <w:basedOn w:val="Normal"/>
    <w:link w:val="TestofumettoCarattere"/>
    <w:uiPriority w:val="99"/>
    <w:semiHidden/>
    <w:unhideWhenUsed/>
    <w:qFormat/>
    <w:rsid w:val="00387b1c"/>
    <w:pPr>
      <w:spacing w:lineRule="auto" w:line="240" w:before="0" w:after="0"/>
    </w:pPr>
    <w:rPr>
      <w:rFonts w:ascii="Segoe UI" w:hAnsi="Segoe UI" w:cs="Segoe UI"/>
      <w:sz w:val="18"/>
      <w:szCs w:val="18"/>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209</TotalTime>
  <Application>LibreOffice/25.2.2.2$Windows_x86 LibreOffice_project/7370d4be9e3cf6031a51beef54ff3bda878e3fac</Application>
  <AppVersion>15.0000</AppVersion>
  <Pages>2</Pages>
  <Words>765</Words>
  <Characters>4257</Characters>
  <CharactersWithSpaces>4998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2025-04-08T11:39:00Z</dcterms:created>
  <dc:creator>Trivelli Alessandro</dc:creator>
  <dc:description/>
  <dc:language>it-IT</dc:language>
  <cp:lastModifiedBy/>
  <cp:lastPrinted>2025-04-29T12:37:22Z</cp:lastPrinted>
  <dcterms:modified xsi:type="dcterms:W3CDTF">2025-04-29T12:38:40Z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